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5D6" w:rsidRDefault="001845D6" w:rsidP="001845D6">
      <w:pPr>
        <w:pStyle w:val="ConsPlusNormal"/>
        <w:jc w:val="right"/>
        <w:outlineLvl w:val="1"/>
      </w:pPr>
      <w:r>
        <w:t>Приложение N 1</w:t>
      </w:r>
    </w:p>
    <w:p w:rsidR="001845D6" w:rsidRDefault="001845D6" w:rsidP="001845D6">
      <w:pPr>
        <w:pStyle w:val="ConsPlusNormal"/>
        <w:jc w:val="right"/>
      </w:pPr>
      <w:r>
        <w:t>к Порядку предоставления субсидий</w:t>
      </w:r>
    </w:p>
    <w:p w:rsidR="001845D6" w:rsidRDefault="001845D6" w:rsidP="001845D6">
      <w:pPr>
        <w:pStyle w:val="ConsPlusNormal"/>
        <w:jc w:val="right"/>
      </w:pPr>
      <w:r>
        <w:t>из республиканского бюджета</w:t>
      </w:r>
    </w:p>
    <w:p w:rsidR="001845D6" w:rsidRDefault="001845D6" w:rsidP="001845D6">
      <w:pPr>
        <w:pStyle w:val="ConsPlusNormal"/>
        <w:jc w:val="right"/>
      </w:pPr>
      <w:r>
        <w:t>Чувашской Республики на возмещение</w:t>
      </w:r>
    </w:p>
    <w:p w:rsidR="001845D6" w:rsidRDefault="001845D6" w:rsidP="001845D6">
      <w:pPr>
        <w:pStyle w:val="ConsPlusNormal"/>
        <w:jc w:val="right"/>
      </w:pPr>
      <w:r>
        <w:t>части затрат на уплату процентов</w:t>
      </w:r>
    </w:p>
    <w:p w:rsidR="001845D6" w:rsidRDefault="001845D6" w:rsidP="001845D6">
      <w:pPr>
        <w:pStyle w:val="ConsPlusNormal"/>
        <w:jc w:val="right"/>
      </w:pPr>
      <w:r>
        <w:t>по ипотечным кредитам (займам),</w:t>
      </w:r>
    </w:p>
    <w:p w:rsidR="001845D6" w:rsidRDefault="001845D6" w:rsidP="001845D6">
      <w:pPr>
        <w:pStyle w:val="ConsPlusNormal"/>
        <w:jc w:val="right"/>
      </w:pPr>
      <w:proofErr w:type="gramStart"/>
      <w:r>
        <w:t>привлеченным</w:t>
      </w:r>
      <w:proofErr w:type="gramEnd"/>
      <w:r>
        <w:t xml:space="preserve"> молодыми учителями</w:t>
      </w:r>
    </w:p>
    <w:p w:rsidR="001845D6" w:rsidRDefault="001845D6" w:rsidP="001845D6">
      <w:pPr>
        <w:pStyle w:val="ConsPlusNormal"/>
        <w:jc w:val="right"/>
      </w:pPr>
      <w:r>
        <w:t>на приобретение или строительство</w:t>
      </w:r>
    </w:p>
    <w:p w:rsidR="001845D6" w:rsidRDefault="001845D6" w:rsidP="001845D6">
      <w:pPr>
        <w:pStyle w:val="ConsPlusNormal"/>
        <w:jc w:val="right"/>
      </w:pPr>
      <w:r>
        <w:t>жилья в соответствии с Указом</w:t>
      </w:r>
    </w:p>
    <w:p w:rsidR="001845D6" w:rsidRDefault="001845D6" w:rsidP="001845D6">
      <w:pPr>
        <w:pStyle w:val="ConsPlusNormal"/>
        <w:jc w:val="right"/>
      </w:pPr>
      <w:r>
        <w:t>Главы Чувашской Республики</w:t>
      </w:r>
    </w:p>
    <w:p w:rsidR="001845D6" w:rsidRDefault="001845D6" w:rsidP="001845D6">
      <w:pPr>
        <w:pStyle w:val="ConsPlusNormal"/>
        <w:jc w:val="right"/>
      </w:pPr>
      <w:r>
        <w:t>от 21 июня 2012 г. N 69</w:t>
      </w:r>
    </w:p>
    <w:p w:rsidR="001845D6" w:rsidRDefault="001845D6" w:rsidP="001845D6">
      <w:pPr>
        <w:pStyle w:val="ConsPlusNormal"/>
        <w:jc w:val="right"/>
      </w:pPr>
      <w:r>
        <w:t>"О мерах государственной поддержки</w:t>
      </w:r>
    </w:p>
    <w:p w:rsidR="001845D6" w:rsidRDefault="001845D6" w:rsidP="001845D6">
      <w:pPr>
        <w:pStyle w:val="ConsPlusNormal"/>
        <w:jc w:val="right"/>
      </w:pPr>
      <w:r>
        <w:t>молодых учителей общеобразовательных</w:t>
      </w:r>
    </w:p>
    <w:p w:rsidR="001845D6" w:rsidRDefault="001845D6" w:rsidP="001845D6">
      <w:pPr>
        <w:pStyle w:val="ConsPlusNormal"/>
        <w:jc w:val="right"/>
      </w:pPr>
      <w:r>
        <w:t>учреждений в Чувашской Республике</w:t>
      </w:r>
    </w:p>
    <w:p w:rsidR="001845D6" w:rsidRDefault="001845D6" w:rsidP="001845D6">
      <w:pPr>
        <w:pStyle w:val="ConsPlusNormal"/>
        <w:jc w:val="right"/>
      </w:pPr>
      <w:r>
        <w:t>в улучшении жилищных условий"</w:t>
      </w:r>
    </w:p>
    <w:p w:rsidR="001845D6" w:rsidRDefault="001845D6" w:rsidP="001845D6">
      <w:pPr>
        <w:pStyle w:val="ConsPlusNormal"/>
        <w:jc w:val="center"/>
      </w:pPr>
      <w:r>
        <w:t>Список изменяющих документов</w:t>
      </w:r>
    </w:p>
    <w:p w:rsidR="001845D6" w:rsidRDefault="001845D6" w:rsidP="001845D6">
      <w:pPr>
        <w:pStyle w:val="ConsPlusNormal"/>
        <w:jc w:val="center"/>
      </w:pPr>
      <w:r>
        <w:t>(в ред. Постановления Кабинета Министров ЧР от 23.07.2014 N 254)</w:t>
      </w:r>
    </w:p>
    <w:p w:rsidR="001845D6" w:rsidRDefault="001845D6" w:rsidP="001845D6">
      <w:pPr>
        <w:pStyle w:val="ConsPlusNormal"/>
        <w:jc w:val="center"/>
      </w:pPr>
    </w:p>
    <w:p w:rsidR="001845D6" w:rsidRDefault="001845D6" w:rsidP="001845D6">
      <w:pPr>
        <w:pStyle w:val="ConsPlusNormal"/>
        <w:ind w:firstLine="540"/>
        <w:jc w:val="both"/>
      </w:pPr>
    </w:p>
    <w:p w:rsidR="001845D6" w:rsidRDefault="001845D6" w:rsidP="001845D6">
      <w:pPr>
        <w:pStyle w:val="ConsPlusNonformat"/>
        <w:jc w:val="both"/>
      </w:pPr>
      <w:r>
        <w:t xml:space="preserve">                                                   УТВЕРЖДАЮ</w:t>
      </w:r>
    </w:p>
    <w:p w:rsidR="001845D6" w:rsidRDefault="001845D6" w:rsidP="001845D6">
      <w:pPr>
        <w:pStyle w:val="ConsPlusNonformat"/>
        <w:jc w:val="both"/>
      </w:pPr>
      <w:r>
        <w:t xml:space="preserve">                                      Министр строительства, архитектуры</w:t>
      </w:r>
    </w:p>
    <w:p w:rsidR="001845D6" w:rsidRDefault="001845D6" w:rsidP="001845D6">
      <w:pPr>
        <w:pStyle w:val="ConsPlusNonformat"/>
        <w:jc w:val="both"/>
      </w:pPr>
      <w:r>
        <w:t xml:space="preserve">                                       и жилищно-коммунального хозяйства</w:t>
      </w:r>
    </w:p>
    <w:p w:rsidR="001845D6" w:rsidRDefault="001845D6" w:rsidP="001845D6">
      <w:pPr>
        <w:pStyle w:val="ConsPlusNonformat"/>
        <w:jc w:val="both"/>
      </w:pPr>
      <w:r>
        <w:t xml:space="preserve">                                             Чувашской Республики</w:t>
      </w:r>
    </w:p>
    <w:p w:rsidR="001845D6" w:rsidRDefault="001845D6" w:rsidP="001845D6">
      <w:pPr>
        <w:pStyle w:val="ConsPlusNonformat"/>
        <w:jc w:val="both"/>
      </w:pPr>
      <w:r>
        <w:t xml:space="preserve">                                   _______________ ________________________</w:t>
      </w:r>
    </w:p>
    <w:p w:rsidR="001845D6" w:rsidRDefault="001845D6" w:rsidP="001845D6">
      <w:pPr>
        <w:pStyle w:val="ConsPlusNonformat"/>
        <w:jc w:val="both"/>
      </w:pPr>
      <w:r>
        <w:t xml:space="preserve">                                      (подпись)      (расшифровка подписи)</w:t>
      </w:r>
    </w:p>
    <w:p w:rsidR="001845D6" w:rsidRDefault="001845D6" w:rsidP="001845D6">
      <w:pPr>
        <w:pStyle w:val="ConsPlusNonformat"/>
        <w:jc w:val="both"/>
      </w:pPr>
      <w:r>
        <w:t xml:space="preserve">                                          ______ __________ 20___ г.</w:t>
      </w:r>
    </w:p>
    <w:p w:rsidR="001845D6" w:rsidRDefault="001845D6" w:rsidP="001845D6">
      <w:pPr>
        <w:pStyle w:val="ConsPlusNonformat"/>
        <w:jc w:val="both"/>
      </w:pPr>
    </w:p>
    <w:p w:rsidR="001845D6" w:rsidRDefault="001845D6" w:rsidP="001845D6">
      <w:pPr>
        <w:pStyle w:val="ConsPlusNonformat"/>
        <w:jc w:val="both"/>
      </w:pPr>
      <w:bookmarkStart w:id="0" w:name="Par614"/>
      <w:bookmarkEnd w:id="0"/>
      <w:r>
        <w:t xml:space="preserve">                                  РАСЧЕТ</w:t>
      </w:r>
    </w:p>
    <w:p w:rsidR="001845D6" w:rsidRDefault="001845D6" w:rsidP="001845D6">
      <w:pPr>
        <w:pStyle w:val="ConsPlusNonformat"/>
        <w:jc w:val="both"/>
      </w:pPr>
      <w:r>
        <w:t xml:space="preserve">                возмещения части затрат на уплату процентов</w:t>
      </w:r>
    </w:p>
    <w:p w:rsidR="001845D6" w:rsidRDefault="001845D6" w:rsidP="001845D6">
      <w:pPr>
        <w:pStyle w:val="ConsPlusNonformat"/>
        <w:jc w:val="both"/>
      </w:pPr>
      <w:r>
        <w:t xml:space="preserve">               по ипотечным кредитам (займам), привлеченным</w:t>
      </w:r>
    </w:p>
    <w:p w:rsidR="001845D6" w:rsidRDefault="001845D6" w:rsidP="001845D6">
      <w:pPr>
        <w:pStyle w:val="ConsPlusNonformat"/>
        <w:jc w:val="both"/>
      </w:pPr>
      <w:r>
        <w:t xml:space="preserve">        молодыми учителями на приобретение или строительство жилья</w:t>
      </w:r>
    </w:p>
    <w:p w:rsidR="001845D6" w:rsidRDefault="001845D6" w:rsidP="001845D6">
      <w:pPr>
        <w:pStyle w:val="ConsPlusNonformat"/>
        <w:jc w:val="both"/>
      </w:pPr>
      <w:r>
        <w:t xml:space="preserve">            в соответствии с Указом Главы Чувашской Республики</w:t>
      </w:r>
    </w:p>
    <w:p w:rsidR="001845D6" w:rsidRDefault="001845D6" w:rsidP="001845D6">
      <w:pPr>
        <w:pStyle w:val="ConsPlusNonformat"/>
        <w:jc w:val="both"/>
      </w:pPr>
      <w:r>
        <w:t xml:space="preserve">        от 21 июня 2012 г. N 69 "О мерах государственной поддержки</w:t>
      </w:r>
    </w:p>
    <w:p w:rsidR="001845D6" w:rsidRDefault="001845D6" w:rsidP="001845D6">
      <w:pPr>
        <w:pStyle w:val="ConsPlusNonformat"/>
        <w:jc w:val="both"/>
      </w:pPr>
      <w:r>
        <w:t xml:space="preserve">              молодых учителей общеобразовательных учреждений</w:t>
      </w:r>
    </w:p>
    <w:p w:rsidR="001845D6" w:rsidRDefault="001845D6" w:rsidP="001845D6">
      <w:pPr>
        <w:pStyle w:val="ConsPlusNonformat"/>
        <w:jc w:val="both"/>
      </w:pPr>
      <w:r>
        <w:t xml:space="preserve">           в Чувашской Республике в улучшении жилищных условий"</w:t>
      </w:r>
    </w:p>
    <w:p w:rsidR="001845D6" w:rsidRDefault="001845D6" w:rsidP="001845D6">
      <w:pPr>
        <w:pStyle w:val="ConsPlusNonformat"/>
        <w:jc w:val="both"/>
      </w:pPr>
      <w:r>
        <w:t xml:space="preserve">        в ________________________________________________________,</w:t>
      </w:r>
    </w:p>
    <w:p w:rsidR="001845D6" w:rsidRDefault="001845D6" w:rsidP="001845D6">
      <w:pPr>
        <w:pStyle w:val="ConsPlusNonformat"/>
        <w:jc w:val="both"/>
      </w:pPr>
      <w:r>
        <w:t xml:space="preserve">             </w:t>
      </w:r>
      <w:proofErr w:type="gramStart"/>
      <w:r>
        <w:t>(наименование кредитной организации (организации,</w:t>
      </w:r>
      <w:proofErr w:type="gramEnd"/>
    </w:p>
    <w:p w:rsidR="001845D6" w:rsidRDefault="001845D6" w:rsidP="001845D6">
      <w:pPr>
        <w:pStyle w:val="ConsPlusNonformat"/>
        <w:jc w:val="both"/>
      </w:pPr>
      <w:r>
        <w:t xml:space="preserve">        ___________________________________________________________</w:t>
      </w:r>
    </w:p>
    <w:p w:rsidR="001845D6" w:rsidRDefault="001845D6" w:rsidP="001845D6">
      <w:pPr>
        <w:pStyle w:val="ConsPlusNonformat"/>
        <w:jc w:val="both"/>
      </w:pPr>
      <w:r>
        <w:t xml:space="preserve">          </w:t>
      </w:r>
      <w:proofErr w:type="gramStart"/>
      <w:r>
        <w:t>осуществляющей</w:t>
      </w:r>
      <w:proofErr w:type="gramEnd"/>
      <w:r>
        <w:t xml:space="preserve"> предоставление займа по договору займа,</w:t>
      </w:r>
    </w:p>
    <w:p w:rsidR="001845D6" w:rsidRDefault="001845D6" w:rsidP="001845D6">
      <w:pPr>
        <w:pStyle w:val="ConsPlusNonformat"/>
        <w:jc w:val="both"/>
      </w:pPr>
      <w:r>
        <w:t xml:space="preserve">         исполнение </w:t>
      </w:r>
      <w:proofErr w:type="gramStart"/>
      <w:r>
        <w:t>обязательств</w:t>
      </w:r>
      <w:proofErr w:type="gramEnd"/>
      <w:r>
        <w:t xml:space="preserve"> по которому обеспечено ипотекой)</w:t>
      </w:r>
    </w:p>
    <w:p w:rsidR="001845D6" w:rsidRDefault="001845D6" w:rsidP="001845D6">
      <w:pPr>
        <w:pStyle w:val="ConsPlusNonformat"/>
        <w:jc w:val="both"/>
      </w:pPr>
      <w:r>
        <w:lastRenderedPageBreak/>
        <w:t xml:space="preserve">                        за ____________ 20___ года</w:t>
      </w:r>
    </w:p>
    <w:p w:rsidR="001845D6" w:rsidRDefault="001845D6" w:rsidP="001845D6">
      <w:pPr>
        <w:pStyle w:val="ConsPlusNonformat"/>
        <w:jc w:val="both"/>
      </w:pPr>
      <w:r>
        <w:t xml:space="preserve">                              (месяц)</w:t>
      </w:r>
    </w:p>
    <w:p w:rsidR="001845D6" w:rsidRDefault="001845D6" w:rsidP="001845D6">
      <w:pPr>
        <w:pStyle w:val="ConsPlusNonformat"/>
        <w:jc w:val="both"/>
      </w:pPr>
      <w:r>
        <w:t xml:space="preserve">           по _________________________________________________</w:t>
      </w:r>
    </w:p>
    <w:p w:rsidR="001845D6" w:rsidRDefault="001845D6" w:rsidP="001845D6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1845D6" w:rsidRDefault="001845D6" w:rsidP="001845D6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"/>
        <w:gridCol w:w="988"/>
        <w:gridCol w:w="891"/>
        <w:gridCol w:w="1298"/>
        <w:gridCol w:w="1352"/>
        <w:gridCol w:w="1213"/>
        <w:gridCol w:w="1318"/>
        <w:gridCol w:w="1238"/>
        <w:gridCol w:w="1117"/>
        <w:gridCol w:w="1249"/>
        <w:gridCol w:w="834"/>
        <w:gridCol w:w="1348"/>
        <w:gridCol w:w="1522"/>
      </w:tblGrid>
      <w:tr w:rsidR="001845D6" w:rsidTr="001845D6">
        <w:tc>
          <w:tcPr>
            <w:tcW w:w="189" w:type="pct"/>
            <w:vMerge w:val="restart"/>
          </w:tcPr>
          <w:p w:rsidR="001845D6" w:rsidRDefault="001845D6" w:rsidP="00632A8E">
            <w:pPr>
              <w:pStyle w:val="ConsPlusNormal"/>
              <w:jc w:val="center"/>
            </w:pPr>
            <w:bookmarkStart w:id="1" w:name="_GoBack"/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456" w:type="pct"/>
            <w:vMerge w:val="restart"/>
          </w:tcPr>
          <w:p w:rsidR="001845D6" w:rsidRDefault="001845D6" w:rsidP="00632A8E">
            <w:pPr>
              <w:pStyle w:val="ConsPlusNormal"/>
              <w:jc w:val="center"/>
            </w:pPr>
            <w:r>
              <w:t>Ф.И.О. заемщика</w:t>
            </w:r>
          </w:p>
        </w:tc>
        <w:tc>
          <w:tcPr>
            <w:tcW w:w="296" w:type="pct"/>
            <w:vMerge w:val="restart"/>
          </w:tcPr>
          <w:p w:rsidR="001845D6" w:rsidRDefault="001845D6" w:rsidP="00632A8E">
            <w:pPr>
              <w:pStyle w:val="ConsPlusNormal"/>
              <w:jc w:val="center"/>
            </w:pPr>
            <w:r>
              <w:t>Номер ссудного счета</w:t>
            </w:r>
          </w:p>
        </w:tc>
        <w:tc>
          <w:tcPr>
            <w:tcW w:w="459" w:type="pct"/>
            <w:vMerge w:val="restart"/>
          </w:tcPr>
          <w:p w:rsidR="001845D6" w:rsidRDefault="001845D6" w:rsidP="00632A8E">
            <w:pPr>
              <w:pStyle w:val="ConsPlusNormal"/>
              <w:jc w:val="center"/>
            </w:pPr>
            <w:r>
              <w:t>Дата и номер кредитного договора (договора займа, исполнение обязательств по которому обеспечено ипотекой)</w:t>
            </w:r>
          </w:p>
        </w:tc>
        <w:tc>
          <w:tcPr>
            <w:tcW w:w="403" w:type="pct"/>
            <w:vMerge w:val="restart"/>
          </w:tcPr>
          <w:p w:rsidR="001845D6" w:rsidRDefault="001845D6" w:rsidP="00632A8E">
            <w:pPr>
              <w:pStyle w:val="ConsPlusNormal"/>
              <w:jc w:val="center"/>
            </w:pPr>
            <w:r>
              <w:t>Номер лицевого счета для перечисления средств на возмещение процентов</w:t>
            </w:r>
          </w:p>
        </w:tc>
        <w:tc>
          <w:tcPr>
            <w:tcW w:w="314" w:type="pct"/>
            <w:vMerge w:val="restart"/>
          </w:tcPr>
          <w:p w:rsidR="001845D6" w:rsidRDefault="001845D6" w:rsidP="00632A8E">
            <w:pPr>
              <w:pStyle w:val="ConsPlusNormal"/>
              <w:jc w:val="center"/>
            </w:pPr>
            <w:r>
              <w:t>Сумма полученного кредита (займа), рублей</w:t>
            </w:r>
          </w:p>
        </w:tc>
        <w:tc>
          <w:tcPr>
            <w:tcW w:w="404" w:type="pct"/>
            <w:vMerge w:val="restart"/>
          </w:tcPr>
          <w:p w:rsidR="001845D6" w:rsidRDefault="001845D6" w:rsidP="00632A8E">
            <w:pPr>
              <w:pStyle w:val="ConsPlusNormal"/>
              <w:jc w:val="center"/>
            </w:pPr>
            <w:r>
              <w:t>Сумма кредита (займа), по которому производится возмещение, рублей</w:t>
            </w:r>
          </w:p>
        </w:tc>
        <w:tc>
          <w:tcPr>
            <w:tcW w:w="448" w:type="pct"/>
            <w:vMerge w:val="restart"/>
          </w:tcPr>
          <w:p w:rsidR="001845D6" w:rsidRDefault="001845D6" w:rsidP="00632A8E">
            <w:pPr>
              <w:pStyle w:val="ConsPlusNormal"/>
              <w:jc w:val="center"/>
            </w:pPr>
            <w:r>
              <w:t>Процентная ставка за пользование кредитом (займом)</w:t>
            </w:r>
          </w:p>
        </w:tc>
        <w:tc>
          <w:tcPr>
            <w:tcW w:w="909" w:type="pct"/>
            <w:gridSpan w:val="2"/>
          </w:tcPr>
          <w:p w:rsidR="001845D6" w:rsidRDefault="001845D6" w:rsidP="00632A8E">
            <w:pPr>
              <w:pStyle w:val="ConsPlusNormal"/>
              <w:jc w:val="center"/>
            </w:pPr>
            <w:r>
              <w:t>Сумма процентов за пользование кредитом (займом), по которому производится возмещение, в отчетном месяце, рублей</w:t>
            </w:r>
          </w:p>
        </w:tc>
        <w:tc>
          <w:tcPr>
            <w:tcW w:w="717" w:type="pct"/>
            <w:gridSpan w:val="2"/>
          </w:tcPr>
          <w:p w:rsidR="001845D6" w:rsidRDefault="001845D6" w:rsidP="00632A8E">
            <w:pPr>
              <w:pStyle w:val="ConsPlusNormal"/>
              <w:jc w:val="center"/>
            </w:pPr>
            <w:r>
              <w:t>Остаток ссудной задолженности от суммы кредита (займа), по которой производится возмещение, на конец отчетного месяца, рублей</w:t>
            </w:r>
          </w:p>
        </w:tc>
        <w:tc>
          <w:tcPr>
            <w:tcW w:w="404" w:type="pct"/>
            <w:vMerge w:val="restart"/>
          </w:tcPr>
          <w:p w:rsidR="001845D6" w:rsidRDefault="001845D6" w:rsidP="00632A8E">
            <w:pPr>
              <w:pStyle w:val="ConsPlusNormal"/>
              <w:jc w:val="center"/>
            </w:pPr>
            <w:r>
              <w:t>Общая площадь приобретенного жилья, кв. метров</w:t>
            </w:r>
          </w:p>
        </w:tc>
      </w:tr>
      <w:tr w:rsidR="001845D6" w:rsidTr="001845D6">
        <w:tc>
          <w:tcPr>
            <w:tcW w:w="189" w:type="pct"/>
            <w:vMerge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56" w:type="pct"/>
            <w:vMerge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296" w:type="pct"/>
            <w:vMerge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59" w:type="pct"/>
            <w:vMerge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03" w:type="pct"/>
            <w:vMerge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314" w:type="pct"/>
            <w:vMerge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04" w:type="pct"/>
            <w:vMerge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48" w:type="pct"/>
            <w:vMerge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уплачено заемщиком</w:t>
            </w:r>
          </w:p>
        </w:tc>
        <w:tc>
          <w:tcPr>
            <w:tcW w:w="506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из них подлежит возмещению в размере 4%</w:t>
            </w:r>
          </w:p>
        </w:tc>
        <w:tc>
          <w:tcPr>
            <w:tcW w:w="359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срочной</w:t>
            </w:r>
          </w:p>
        </w:tc>
        <w:tc>
          <w:tcPr>
            <w:tcW w:w="359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просроченной</w:t>
            </w:r>
          </w:p>
        </w:tc>
        <w:tc>
          <w:tcPr>
            <w:tcW w:w="404" w:type="pct"/>
            <w:vMerge/>
          </w:tcPr>
          <w:p w:rsidR="001845D6" w:rsidRDefault="001845D6" w:rsidP="00632A8E">
            <w:pPr>
              <w:pStyle w:val="ConsPlusNormal"/>
              <w:jc w:val="center"/>
            </w:pPr>
          </w:p>
        </w:tc>
      </w:tr>
      <w:tr w:rsidR="001845D6" w:rsidTr="001845D6">
        <w:tc>
          <w:tcPr>
            <w:tcW w:w="189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6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6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9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3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4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4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8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3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06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59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59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4" w:type="pct"/>
          </w:tcPr>
          <w:p w:rsidR="001845D6" w:rsidRDefault="001845D6" w:rsidP="00632A8E">
            <w:pPr>
              <w:pStyle w:val="ConsPlusNormal"/>
              <w:jc w:val="center"/>
            </w:pPr>
            <w:r>
              <w:t>13</w:t>
            </w:r>
          </w:p>
        </w:tc>
      </w:tr>
      <w:tr w:rsidR="001845D6" w:rsidTr="001845D6">
        <w:tc>
          <w:tcPr>
            <w:tcW w:w="189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56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296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59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314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04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48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506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359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359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04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</w:tr>
      <w:tr w:rsidR="001845D6" w:rsidTr="001845D6">
        <w:tc>
          <w:tcPr>
            <w:tcW w:w="189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56" w:type="pct"/>
          </w:tcPr>
          <w:p w:rsidR="001845D6" w:rsidRDefault="001845D6" w:rsidP="00632A8E">
            <w:pPr>
              <w:pStyle w:val="ConsPlusNormal"/>
            </w:pPr>
            <w:r>
              <w:t>Итого</w:t>
            </w:r>
          </w:p>
        </w:tc>
        <w:tc>
          <w:tcPr>
            <w:tcW w:w="296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59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314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04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48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506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359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359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  <w:tc>
          <w:tcPr>
            <w:tcW w:w="404" w:type="pct"/>
          </w:tcPr>
          <w:p w:rsidR="001845D6" w:rsidRDefault="001845D6" w:rsidP="00632A8E">
            <w:pPr>
              <w:pStyle w:val="ConsPlusNormal"/>
              <w:jc w:val="both"/>
            </w:pPr>
          </w:p>
        </w:tc>
      </w:tr>
      <w:bookmarkEnd w:id="1"/>
    </w:tbl>
    <w:p w:rsidR="001845D6" w:rsidRDefault="001845D6" w:rsidP="001845D6">
      <w:pPr>
        <w:pStyle w:val="ConsPlusNormal"/>
        <w:jc w:val="both"/>
      </w:pP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Руководитель (заместитель руководителя)</w:t>
      </w: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кредитной организации (организации,</w:t>
      </w:r>
      <w:proofErr w:type="gramEnd"/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осуществляющей</w:t>
      </w:r>
      <w:proofErr w:type="gramEnd"/>
      <w:r>
        <w:rPr>
          <w:sz w:val="18"/>
          <w:szCs w:val="18"/>
        </w:rPr>
        <w:t xml:space="preserve"> предоставление займа</w:t>
      </w: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по договору займа, исполнение обязательств</w:t>
      </w: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 </w:t>
      </w:r>
      <w:proofErr w:type="gramStart"/>
      <w:r>
        <w:rPr>
          <w:sz w:val="18"/>
          <w:szCs w:val="18"/>
        </w:rPr>
        <w:t>которому</w:t>
      </w:r>
      <w:proofErr w:type="gramEnd"/>
      <w:r>
        <w:rPr>
          <w:sz w:val="18"/>
          <w:szCs w:val="18"/>
        </w:rPr>
        <w:t xml:space="preserve"> обеспечено ипотекой)           __________________ ____________________________</w:t>
      </w: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(подпись)               (Ф.И.О.)</w:t>
      </w: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Расчет составил                            __________________ ____________________________</w:t>
      </w: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(подпись)      (Ф.И.О., контактный телефон)</w:t>
      </w: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Расчет проверил</w:t>
      </w:r>
    </w:p>
    <w:p w:rsidR="001845D6" w:rsidRDefault="001845D6" w:rsidP="001845D6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ответственный специалист Минстроя Чувашии  __________________ ____________________________</w:t>
      </w:r>
    </w:p>
    <w:p w:rsidR="00C125BB" w:rsidRDefault="001845D6" w:rsidP="001845D6">
      <w:pPr>
        <w:pStyle w:val="ConsPlusNonformat"/>
        <w:jc w:val="both"/>
      </w:pPr>
      <w:r>
        <w:rPr>
          <w:sz w:val="18"/>
          <w:szCs w:val="18"/>
        </w:rPr>
        <w:t xml:space="preserve">                                               (подпись)      (Ф.И.О., контактный телефон)</w:t>
      </w:r>
    </w:p>
    <w:sectPr w:rsidR="00C125BB" w:rsidSect="001845D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D6"/>
    <w:rsid w:val="001845D6"/>
    <w:rsid w:val="00C1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45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2016-01-22T12:34:00Z</dcterms:created>
  <dcterms:modified xsi:type="dcterms:W3CDTF">2016-01-22T12:37:00Z</dcterms:modified>
</cp:coreProperties>
</file>